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F8" w:rsidRPr="000C3E31" w:rsidRDefault="00DB3BB2" w:rsidP="00DB3BB2">
      <w:pPr>
        <w:tabs>
          <w:tab w:val="left" w:pos="100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по выбору «Основы финансовой грамотности»</w:t>
      </w:r>
    </w:p>
    <w:p w:rsidR="00CC371A" w:rsidRPr="000C3E31" w:rsidRDefault="00CC371A" w:rsidP="0062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31">
        <w:rPr>
          <w:rFonts w:ascii="Times New Roman" w:hAnsi="Times New Roman" w:cs="Times New Roman"/>
          <w:sz w:val="24"/>
          <w:szCs w:val="24"/>
        </w:rPr>
        <w:t>П</w:t>
      </w:r>
      <w:r w:rsidR="00DB3BB2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0C3E31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DB3BB2">
        <w:rPr>
          <w:rFonts w:ascii="Times New Roman" w:hAnsi="Times New Roman" w:cs="Times New Roman"/>
          <w:sz w:val="24"/>
          <w:szCs w:val="24"/>
        </w:rPr>
        <w:t xml:space="preserve"> по выбору </w:t>
      </w:r>
      <w:r w:rsidRPr="000C3E31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</w:t>
      </w:r>
      <w:r w:rsidR="009E6A1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="00E4373C">
        <w:rPr>
          <w:rFonts w:ascii="Times New Roman" w:hAnsi="Times New Roman" w:cs="Times New Roman"/>
          <w:sz w:val="24"/>
          <w:szCs w:val="24"/>
        </w:rPr>
        <w:t>для учащихся 10 класса</w:t>
      </w:r>
      <w:r w:rsidR="00D3756A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Pr="000C3E31">
        <w:rPr>
          <w:rStyle w:val="212pt"/>
          <w:rFonts w:eastAsiaTheme="minorEastAsia"/>
          <w:color w:val="auto"/>
        </w:rPr>
        <w:t xml:space="preserve">для создания </w:t>
      </w:r>
      <w:r w:rsidRPr="000C3E31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</w:t>
      </w:r>
      <w:r w:rsidR="00CE28B7" w:rsidRPr="000C3E31">
        <w:rPr>
          <w:rFonts w:ascii="Times New Roman" w:hAnsi="Times New Roman" w:cs="Times New Roman"/>
          <w:sz w:val="24"/>
          <w:szCs w:val="24"/>
        </w:rPr>
        <w:t>ов на эко</w:t>
      </w:r>
      <w:r w:rsidR="001A0182" w:rsidRPr="000C3E31">
        <w:rPr>
          <w:rFonts w:ascii="Times New Roman" w:hAnsi="Times New Roman" w:cs="Times New Roman"/>
          <w:sz w:val="24"/>
          <w:szCs w:val="24"/>
        </w:rPr>
        <w:t>номическом</w:t>
      </w:r>
      <w:r w:rsidR="004767BB" w:rsidRPr="000C3E31">
        <w:rPr>
          <w:rFonts w:ascii="Times New Roman" w:hAnsi="Times New Roman" w:cs="Times New Roman"/>
          <w:sz w:val="24"/>
          <w:szCs w:val="24"/>
        </w:rPr>
        <w:t xml:space="preserve"> содержании </w:t>
      </w:r>
      <w:r w:rsidRPr="000C3E31">
        <w:rPr>
          <w:rFonts w:ascii="Times New Roman" w:hAnsi="Times New Roman" w:cs="Times New Roman"/>
          <w:sz w:val="24"/>
          <w:szCs w:val="24"/>
        </w:rPr>
        <w:t>образова</w:t>
      </w:r>
      <w:r w:rsidR="001A0182" w:rsidRPr="000C3E31">
        <w:rPr>
          <w:rFonts w:ascii="Times New Roman" w:hAnsi="Times New Roman" w:cs="Times New Roman"/>
          <w:sz w:val="24"/>
          <w:szCs w:val="24"/>
        </w:rPr>
        <w:t xml:space="preserve">ния при </w:t>
      </w:r>
      <w:r w:rsidR="00CE28B7" w:rsidRPr="000C3E31">
        <w:rPr>
          <w:rFonts w:ascii="Times New Roman" w:hAnsi="Times New Roman" w:cs="Times New Roman"/>
          <w:sz w:val="24"/>
          <w:szCs w:val="24"/>
        </w:rPr>
        <w:t xml:space="preserve">введении </w:t>
      </w:r>
      <w:r w:rsidRPr="000C3E31">
        <w:rPr>
          <w:rFonts w:ascii="Times New Roman" w:hAnsi="Times New Roman" w:cs="Times New Roman"/>
          <w:sz w:val="24"/>
          <w:szCs w:val="24"/>
        </w:rPr>
        <w:t>федерального</w:t>
      </w:r>
      <w:r w:rsidR="008B373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Pr="000C3E3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="001A0182" w:rsidRPr="000C3E31">
        <w:rPr>
          <w:rFonts w:ascii="Times New Roman" w:hAnsi="Times New Roman" w:cs="Times New Roman"/>
          <w:sz w:val="24"/>
          <w:szCs w:val="24"/>
        </w:rPr>
        <w:t>среднего общего образования (ФГОС С</w:t>
      </w:r>
      <w:r w:rsidRPr="000C3E31">
        <w:rPr>
          <w:rFonts w:ascii="Times New Roman" w:hAnsi="Times New Roman" w:cs="Times New Roman"/>
          <w:sz w:val="24"/>
          <w:szCs w:val="24"/>
        </w:rPr>
        <w:t>ОО).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C3E31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</w:t>
      </w:r>
      <w:r w:rsidRPr="008B3738">
        <w:rPr>
          <w:rFonts w:ascii="Times New Roman" w:hAnsi="Times New Roman"/>
          <w:sz w:val="24"/>
          <w:szCs w:val="24"/>
        </w:rPr>
        <w:t xml:space="preserve">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 данным Национального агентства финансовых исследований  (далее – НАФИ), которое регулярно проводит измерение уровня финансовой грамотности населения России, ее уровень можно охарактеризовать как невысокий.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Потребители финансовых услуг в отличие от потребителя обычных товаров не обладают достаточными компетенциями и не знают, где они могут получить достоверную и понятную информацию, например, о переходе на накопительное пенсионное страхование, о состоянии и преимуществах финансового рынка, принятие самостоятельного решения о выборе управляющей компании для накопительной части пенсии часто становится неразрешимой проблемой.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Казалось бы, существующая в течение многих лет система страхования широко используется населением, однако, как показывают исследования, около 20% населения при покупке финансовых услуг не читали контракт или не до конца понимали его смысл, но все равно подписывали его; 14% взрослого населения не умеет пользоваться платежными терминалами, каждый десятый вообще не знает о такой возможности или не имеет платежного терминала на расстоянии пешей доступности. Инвестируют свои средства в акции, облигации и другие финансовые инструменты сегодня менее 2% россиян.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Менее половины населения (45%) осуществляют учет личных финансов, еще меньше (32%) способны различить простейшие признаки финансовой пирамиды. По данным опроса НАФИ, проведенного в апреле 2011 года, 78% опрошенных потребителей ничего не знали о вступившем в силу законе «О национальной платежной системе», регулирующем электронные платежи.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lastRenderedPageBreak/>
        <w:t>Низкий уровень финансовой грамотности 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государственной политике в этой сфере, обуславливает дополнительную нагрузку на бюджет, приводит к снижению темпов экономического роста.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потребление, а, значит, ограничивает уровень и качество сбережений и инвестиций, определяющих потенциал экономического роста.</w:t>
      </w:r>
    </w:p>
    <w:p w:rsidR="006D722F" w:rsidRPr="006D722F" w:rsidRDefault="006D722F" w:rsidP="00782E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D722F">
        <w:rPr>
          <w:rFonts w:ascii="Times New Roman" w:hAnsi="Times New Roman" w:cs="Times New Roman"/>
          <w:sz w:val="24"/>
          <w:szCs w:val="24"/>
        </w:rP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6D722F" w:rsidRPr="006D722F" w:rsidRDefault="006D722F" w:rsidP="00782E94">
      <w:pPr>
        <w:pStyle w:val="a5"/>
        <w:spacing w:before="0" w:beforeAutospacing="0" w:after="0" w:afterAutospacing="0"/>
        <w:ind w:firstLine="567"/>
        <w:jc w:val="both"/>
      </w:pPr>
      <w:r w:rsidRPr="006D722F"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  –  подготовить молодых людей к жизни в реальных условиях рыночной экономики, научить  их  эффективно использовать  возможности, предоставляемые современным обществом, в том числе и  финансовые услуги для  повышения собственного благосостояния и успешности в целом.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</w:t>
      </w:r>
      <w:r w:rsidR="006D5EB3" w:rsidRPr="00931E24">
        <w:rPr>
          <w:color w:val="000000"/>
        </w:rPr>
        <w:t>ченные знания в реальной жизни.</w:t>
      </w:r>
    </w:p>
    <w:p w:rsidR="006D5EB3" w:rsidRPr="00931E24" w:rsidRDefault="005E6492" w:rsidP="00782E94">
      <w:pPr>
        <w:shd w:val="clear" w:color="auto" w:fill="FFFFFF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Кроме того, задачи с финансово-экономическим содержанием включены в материалы итоговой аттестац</w:t>
      </w:r>
      <w:r w:rsidR="006D5EB3" w:rsidRPr="00931E24">
        <w:rPr>
          <w:rFonts w:ascii="Times New Roman" w:hAnsi="Times New Roman" w:cs="Times New Roman"/>
          <w:color w:val="000000"/>
          <w:sz w:val="24"/>
          <w:szCs w:val="24"/>
        </w:rPr>
        <w:t>ии за курс основной школы, ЕГЭ.</w:t>
      </w:r>
    </w:p>
    <w:p w:rsidR="00F03267" w:rsidRPr="00931E24" w:rsidRDefault="00F03267" w:rsidP="00782E94">
      <w:pPr>
        <w:shd w:val="clear" w:color="auto" w:fill="FFFFFF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31E24">
        <w:rPr>
          <w:rStyle w:val="21"/>
          <w:rFonts w:eastAsiaTheme="minorEastAsia"/>
          <w:sz w:val="24"/>
          <w:szCs w:val="24"/>
        </w:rPr>
        <w:t xml:space="preserve">Федеральный государственный образовательный стандарт образования </w:t>
      </w:r>
      <w:r w:rsidRPr="00931E24">
        <w:rPr>
          <w:rFonts w:ascii="Times New Roman" w:hAnsi="Times New Roman" w:cs="Times New Roman"/>
          <w:sz w:val="24"/>
          <w:szCs w:val="24"/>
        </w:rPr>
        <w:t>определяет в</w:t>
      </w:r>
      <w:r w:rsidR="006D5EB3" w:rsidRPr="00931E24">
        <w:rPr>
          <w:rFonts w:ascii="Times New Roman" w:hAnsi="Times New Roman" w:cs="Times New Roman"/>
          <w:sz w:val="24"/>
          <w:szCs w:val="24"/>
        </w:rPr>
        <w:t xml:space="preserve"> качестве главных результатов - </w:t>
      </w:r>
      <w:r w:rsidRPr="00931E24">
        <w:rPr>
          <w:rStyle w:val="21"/>
          <w:rFonts w:eastAsiaTheme="minorEastAsia"/>
          <w:sz w:val="24"/>
          <w:szCs w:val="24"/>
        </w:rPr>
        <w:t xml:space="preserve">предметные, метапредметные, личностные </w:t>
      </w:r>
      <w:r w:rsidRPr="00931E24">
        <w:rPr>
          <w:rFonts w:ascii="Times New Roman" w:hAnsi="Times New Roman" w:cs="Times New Roman"/>
          <w:sz w:val="24"/>
          <w:szCs w:val="24"/>
        </w:rPr>
        <w:t>результаты.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rStyle w:val="21"/>
          <w:b w:val="0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</w:t>
      </w:r>
      <w:r w:rsidRPr="00931E24">
        <w:rPr>
          <w:sz w:val="24"/>
          <w:szCs w:val="24"/>
        </w:rPr>
        <w:t>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931E24">
        <w:rPr>
          <w:sz w:val="24"/>
          <w:szCs w:val="24"/>
        </w:rPr>
        <w:t xml:space="preserve">Универсальные учебные действия (УУД) - это обобщённые действия, </w:t>
      </w:r>
      <w:r w:rsidRPr="00931E24">
        <w:rPr>
          <w:sz w:val="24"/>
          <w:szCs w:val="24"/>
        </w:rPr>
        <w:lastRenderedPageBreak/>
        <w:t xml:space="preserve">обеспечивающие умение учиться. </w:t>
      </w:r>
      <w:r w:rsidRPr="00931E24">
        <w:rPr>
          <w:rStyle w:val="31"/>
          <w:b w:val="0"/>
          <w:sz w:val="24"/>
          <w:szCs w:val="24"/>
        </w:rPr>
        <w:t>Обобщённым действиям</w:t>
      </w:r>
      <w:r w:rsidRPr="00931E24">
        <w:rPr>
          <w:sz w:val="24"/>
          <w:szCs w:val="24"/>
        </w:rPr>
        <w:t>свойственен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</w:t>
      </w:r>
      <w:r w:rsidRPr="00931E24">
        <w:rPr>
          <w:rStyle w:val="21"/>
          <w:b w:val="0"/>
          <w:sz w:val="24"/>
          <w:szCs w:val="24"/>
        </w:rPr>
        <w:t>В</w:t>
      </w:r>
      <w:r w:rsidRPr="00931E24">
        <w:rPr>
          <w:sz w:val="24"/>
          <w:szCs w:val="24"/>
        </w:rPr>
        <w:t xml:space="preserve">этой связи, реализация </w:t>
      </w:r>
      <w:r w:rsidRPr="00931E24">
        <w:rPr>
          <w:rStyle w:val="21"/>
          <w:b w:val="0"/>
          <w:sz w:val="24"/>
          <w:szCs w:val="24"/>
        </w:rPr>
        <w:t>программы</w:t>
      </w:r>
      <w:r w:rsidRPr="00931E24">
        <w:rPr>
          <w:sz w:val="24"/>
          <w:szCs w:val="24"/>
        </w:rPr>
        <w:t xml:space="preserve">«Основы финансовой грамотности», </w:t>
      </w:r>
      <w:r w:rsidRPr="00931E24">
        <w:rPr>
          <w:rStyle w:val="21"/>
          <w:b w:val="0"/>
          <w:sz w:val="24"/>
          <w:szCs w:val="24"/>
        </w:rPr>
        <w:t>выступает развивающим пространством способствующим формированию универсальных учебных действ</w:t>
      </w:r>
      <w:r w:rsidR="006D5EB3" w:rsidRPr="00931E24">
        <w:rPr>
          <w:rStyle w:val="21"/>
          <w:b w:val="0"/>
          <w:sz w:val="24"/>
          <w:szCs w:val="24"/>
        </w:rPr>
        <w:t xml:space="preserve">ий школьников на экономическом </w:t>
      </w:r>
      <w:r w:rsidRPr="00931E24">
        <w:rPr>
          <w:rStyle w:val="21"/>
          <w:b w:val="0"/>
          <w:sz w:val="24"/>
          <w:szCs w:val="24"/>
        </w:rPr>
        <w:t>содержании образования.</w:t>
      </w:r>
    </w:p>
    <w:p w:rsidR="00F03267" w:rsidRDefault="00F03267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E6A18">
        <w:rPr>
          <w:b w:val="0"/>
          <w:i/>
          <w:sz w:val="24"/>
          <w:szCs w:val="24"/>
        </w:rPr>
        <w:t>Целе</w:t>
      </w:r>
      <w:r w:rsidR="009E6A18" w:rsidRPr="009E6A18">
        <w:rPr>
          <w:b w:val="0"/>
          <w:i/>
          <w:sz w:val="24"/>
          <w:szCs w:val="24"/>
        </w:rPr>
        <w:t>сообразность</w:t>
      </w:r>
      <w:r w:rsidR="009E6A18" w:rsidRPr="009E6A18">
        <w:rPr>
          <w:b w:val="0"/>
          <w:i/>
          <w:sz w:val="24"/>
          <w:szCs w:val="24"/>
        </w:rPr>
        <w:tab/>
        <w:t xml:space="preserve">программы </w:t>
      </w:r>
      <w:r w:rsidR="009E6A18" w:rsidRPr="009E6A18">
        <w:rPr>
          <w:b w:val="0"/>
          <w:i/>
          <w:sz w:val="24"/>
          <w:szCs w:val="24"/>
        </w:rPr>
        <w:tab/>
        <w:t xml:space="preserve">«Основы </w:t>
      </w:r>
      <w:r w:rsidRPr="009E6A18">
        <w:rPr>
          <w:b w:val="0"/>
          <w:i/>
          <w:sz w:val="24"/>
          <w:szCs w:val="24"/>
        </w:rPr>
        <w:t>финансовой грамотности»</w:t>
      </w:r>
      <w:r w:rsidR="009E6A18">
        <w:rPr>
          <w:sz w:val="24"/>
          <w:szCs w:val="24"/>
        </w:rPr>
        <w:t xml:space="preserve"> </w:t>
      </w:r>
      <w:r w:rsidRPr="009E6A18">
        <w:rPr>
          <w:b w:val="0"/>
          <w:sz w:val="24"/>
          <w:szCs w:val="24"/>
        </w:rPr>
        <w:t>заключается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DB3BB2" w:rsidRPr="009E6A18" w:rsidRDefault="00DB3BB2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освоения рабочей программы – 17 часов (0,5 часа в неделю).</w:t>
      </w:r>
      <w:bookmarkStart w:id="0" w:name="_GoBack"/>
      <w:bookmarkEnd w:id="0"/>
    </w:p>
    <w:sectPr w:rsidR="00DB3BB2" w:rsidRPr="009E6A18" w:rsidSect="001D5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71" w:rsidRDefault="00693271" w:rsidP="00A26048">
      <w:pPr>
        <w:spacing w:after="0" w:line="240" w:lineRule="auto"/>
      </w:pPr>
      <w:r>
        <w:separator/>
      </w:r>
    </w:p>
  </w:endnote>
  <w:endnote w:type="continuationSeparator" w:id="0">
    <w:p w:rsidR="00693271" w:rsidRDefault="00693271" w:rsidP="00A2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1" w:rsidRDefault="004449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1" w:rsidRDefault="00693271" w:rsidP="00A26048">
    <w:pPr>
      <w:pStyle w:val="aa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left:0;text-align:left;margin-left:366.4pt;margin-top:10.05pt;width:118.8pt;height:23.3pt;z-index:2516592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" filled="f" stroked="f" strokeweight=".5pt">
          <v:path arrowok="t"/>
          <v:textbox style="mso-fit-shape-to-text:t">
            <w:txbxContent>
              <w:p w:rsidR="00444991" w:rsidRPr="00A26048" w:rsidRDefault="00444991">
                <w:pPr>
                  <w:pStyle w:val="aa"/>
                  <w:jc w:val="right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DB3BB2">
                  <w:rPr>
                    <w:rFonts w:ascii="Times New Roman" w:hAnsi="Times New Roman" w:cs="Times New Roman"/>
                    <w:noProof/>
                    <w:color w:val="000000" w:themeColor="text1"/>
                    <w:sz w:val="28"/>
                    <w:szCs w:val="28"/>
                  </w:rPr>
                  <w:t>3</w:t>
                </w:r>
                <w:r w:rsidRPr="00A26048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  <w:p w:rsidR="00444991" w:rsidRDefault="00693271">
    <w:pPr>
      <w:pStyle w:val="aa"/>
    </w:pPr>
    <w:r>
      <w:rPr>
        <w:noProof/>
      </w:rPr>
      <w:pict>
        <v:rect id="Прямоугольник 58" o:spid="_x0000_s2049" style="position:absolute;margin-left:0;margin-top:0;width:467.7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1" w:rsidRDefault="004449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71" w:rsidRDefault="00693271" w:rsidP="00A26048">
      <w:pPr>
        <w:spacing w:after="0" w:line="240" w:lineRule="auto"/>
      </w:pPr>
      <w:r>
        <w:separator/>
      </w:r>
    </w:p>
  </w:footnote>
  <w:footnote w:type="continuationSeparator" w:id="0">
    <w:p w:rsidR="00693271" w:rsidRDefault="00693271" w:rsidP="00A2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1" w:rsidRDefault="004449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1" w:rsidRDefault="00444991">
    <w:pPr>
      <w:pStyle w:val="a8"/>
      <w:pBdr>
        <w:between w:val="single" w:sz="4" w:space="1" w:color="4F81BD" w:themeColor="accent1"/>
      </w:pBd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1" w:rsidRDefault="004449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5FC9"/>
    <w:multiLevelType w:val="multilevel"/>
    <w:tmpl w:val="FE440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633D7"/>
    <w:multiLevelType w:val="hybridMultilevel"/>
    <w:tmpl w:val="CEB48014"/>
    <w:lvl w:ilvl="0" w:tplc="ED08D9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8C2"/>
    <w:multiLevelType w:val="multilevel"/>
    <w:tmpl w:val="653C40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86E50"/>
    <w:multiLevelType w:val="multilevel"/>
    <w:tmpl w:val="160C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811746F"/>
    <w:multiLevelType w:val="hybridMultilevel"/>
    <w:tmpl w:val="B5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2BCD"/>
    <w:multiLevelType w:val="multilevel"/>
    <w:tmpl w:val="D4DED436"/>
    <w:lvl w:ilvl="0">
      <w:start w:val="1"/>
      <w:numFmt w:val="decimal"/>
      <w:lvlText w:val="%1........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E3201"/>
    <w:multiLevelType w:val="multilevel"/>
    <w:tmpl w:val="0E147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704EF"/>
    <w:multiLevelType w:val="multilevel"/>
    <w:tmpl w:val="160C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5FE00E6"/>
    <w:multiLevelType w:val="hybridMultilevel"/>
    <w:tmpl w:val="96DCEAE6"/>
    <w:lvl w:ilvl="0" w:tplc="75D4A45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E3C26"/>
    <w:multiLevelType w:val="multilevel"/>
    <w:tmpl w:val="7A8A6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F73DA"/>
    <w:multiLevelType w:val="hybridMultilevel"/>
    <w:tmpl w:val="E2D49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446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725E1"/>
    <w:multiLevelType w:val="multilevel"/>
    <w:tmpl w:val="BFCC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83E52"/>
    <w:multiLevelType w:val="hybridMultilevel"/>
    <w:tmpl w:val="014037C4"/>
    <w:lvl w:ilvl="0" w:tplc="81040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B2139"/>
    <w:multiLevelType w:val="hybridMultilevel"/>
    <w:tmpl w:val="4878A1F8"/>
    <w:lvl w:ilvl="0" w:tplc="2D383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9">
    <w:nsid w:val="5B0B7CB9"/>
    <w:multiLevelType w:val="hybridMultilevel"/>
    <w:tmpl w:val="6A4A2456"/>
    <w:lvl w:ilvl="0" w:tplc="D6B448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4113ED3"/>
    <w:multiLevelType w:val="hybridMultilevel"/>
    <w:tmpl w:val="2EB6746A"/>
    <w:lvl w:ilvl="0" w:tplc="89AE7ED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6AE65272"/>
    <w:multiLevelType w:val="multilevel"/>
    <w:tmpl w:val="5B0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825A7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21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20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  <w:num w:numId="21">
    <w:abstractNumId w:val="2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4FE"/>
    <w:rsid w:val="00012154"/>
    <w:rsid w:val="000170B1"/>
    <w:rsid w:val="000444E5"/>
    <w:rsid w:val="000472D2"/>
    <w:rsid w:val="000521E8"/>
    <w:rsid w:val="00092375"/>
    <w:rsid w:val="000C2D9C"/>
    <w:rsid w:val="000C3E31"/>
    <w:rsid w:val="000E7E52"/>
    <w:rsid w:val="000F72E5"/>
    <w:rsid w:val="0010413E"/>
    <w:rsid w:val="00112522"/>
    <w:rsid w:val="00137333"/>
    <w:rsid w:val="001749BB"/>
    <w:rsid w:val="00193840"/>
    <w:rsid w:val="001A0182"/>
    <w:rsid w:val="001A7BF5"/>
    <w:rsid w:val="001C4390"/>
    <w:rsid w:val="001D537A"/>
    <w:rsid w:val="001E4E7C"/>
    <w:rsid w:val="002118E5"/>
    <w:rsid w:val="00235B37"/>
    <w:rsid w:val="0023678A"/>
    <w:rsid w:val="002404E4"/>
    <w:rsid w:val="00250BB9"/>
    <w:rsid w:val="00285408"/>
    <w:rsid w:val="00294089"/>
    <w:rsid w:val="0029451E"/>
    <w:rsid w:val="00297F3B"/>
    <w:rsid w:val="002B38BB"/>
    <w:rsid w:val="002B5D61"/>
    <w:rsid w:val="002B6D99"/>
    <w:rsid w:val="002C45E5"/>
    <w:rsid w:val="002C6279"/>
    <w:rsid w:val="00341795"/>
    <w:rsid w:val="003464CD"/>
    <w:rsid w:val="00346C52"/>
    <w:rsid w:val="00371C64"/>
    <w:rsid w:val="00373F22"/>
    <w:rsid w:val="003A4F6E"/>
    <w:rsid w:val="003F280A"/>
    <w:rsid w:val="004134B5"/>
    <w:rsid w:val="00422163"/>
    <w:rsid w:val="00442478"/>
    <w:rsid w:val="004433DE"/>
    <w:rsid w:val="00444861"/>
    <w:rsid w:val="00444991"/>
    <w:rsid w:val="004767BB"/>
    <w:rsid w:val="004C0EF9"/>
    <w:rsid w:val="005100E2"/>
    <w:rsid w:val="00520B5D"/>
    <w:rsid w:val="00521D13"/>
    <w:rsid w:val="00531F0A"/>
    <w:rsid w:val="005A3B02"/>
    <w:rsid w:val="005C70A6"/>
    <w:rsid w:val="005D2633"/>
    <w:rsid w:val="005E6492"/>
    <w:rsid w:val="005F3237"/>
    <w:rsid w:val="005F4EB5"/>
    <w:rsid w:val="00613412"/>
    <w:rsid w:val="006210C0"/>
    <w:rsid w:val="0062675C"/>
    <w:rsid w:val="006370A7"/>
    <w:rsid w:val="0066203B"/>
    <w:rsid w:val="006868F8"/>
    <w:rsid w:val="00693271"/>
    <w:rsid w:val="00697D58"/>
    <w:rsid w:val="006D5EB3"/>
    <w:rsid w:val="006D722F"/>
    <w:rsid w:val="00782E94"/>
    <w:rsid w:val="00785C7F"/>
    <w:rsid w:val="007925AE"/>
    <w:rsid w:val="00796B01"/>
    <w:rsid w:val="007E7226"/>
    <w:rsid w:val="00837BA9"/>
    <w:rsid w:val="008440A0"/>
    <w:rsid w:val="00852B45"/>
    <w:rsid w:val="008910E2"/>
    <w:rsid w:val="008A2DF4"/>
    <w:rsid w:val="008B3738"/>
    <w:rsid w:val="008D676B"/>
    <w:rsid w:val="00900656"/>
    <w:rsid w:val="00912D58"/>
    <w:rsid w:val="00915EC8"/>
    <w:rsid w:val="009237BD"/>
    <w:rsid w:val="00931E24"/>
    <w:rsid w:val="00967905"/>
    <w:rsid w:val="009B40C1"/>
    <w:rsid w:val="009C7687"/>
    <w:rsid w:val="009E6A18"/>
    <w:rsid w:val="00A07C23"/>
    <w:rsid w:val="00A1187D"/>
    <w:rsid w:val="00A130C8"/>
    <w:rsid w:val="00A26048"/>
    <w:rsid w:val="00A424E3"/>
    <w:rsid w:val="00A47586"/>
    <w:rsid w:val="00A8312C"/>
    <w:rsid w:val="00A873ED"/>
    <w:rsid w:val="00AA2DA2"/>
    <w:rsid w:val="00AC10DB"/>
    <w:rsid w:val="00AF2E0F"/>
    <w:rsid w:val="00B41210"/>
    <w:rsid w:val="00B661B9"/>
    <w:rsid w:val="00B81E86"/>
    <w:rsid w:val="00B86C50"/>
    <w:rsid w:val="00BA61A9"/>
    <w:rsid w:val="00BB4B30"/>
    <w:rsid w:val="00BC562B"/>
    <w:rsid w:val="00BD42EC"/>
    <w:rsid w:val="00BE4C33"/>
    <w:rsid w:val="00C55B6D"/>
    <w:rsid w:val="00C7142E"/>
    <w:rsid w:val="00C72E48"/>
    <w:rsid w:val="00C937D6"/>
    <w:rsid w:val="00CA6B10"/>
    <w:rsid w:val="00CB1C1F"/>
    <w:rsid w:val="00CC371A"/>
    <w:rsid w:val="00CD4FA0"/>
    <w:rsid w:val="00CE28B7"/>
    <w:rsid w:val="00CE3DE4"/>
    <w:rsid w:val="00CF78B0"/>
    <w:rsid w:val="00D07A2B"/>
    <w:rsid w:val="00D119BF"/>
    <w:rsid w:val="00D3756A"/>
    <w:rsid w:val="00D37600"/>
    <w:rsid w:val="00D600D4"/>
    <w:rsid w:val="00D62C71"/>
    <w:rsid w:val="00D94577"/>
    <w:rsid w:val="00DB3BB2"/>
    <w:rsid w:val="00DD77EC"/>
    <w:rsid w:val="00E016AD"/>
    <w:rsid w:val="00E0190E"/>
    <w:rsid w:val="00E04745"/>
    <w:rsid w:val="00E24AA7"/>
    <w:rsid w:val="00E4373C"/>
    <w:rsid w:val="00E450CE"/>
    <w:rsid w:val="00E8733D"/>
    <w:rsid w:val="00E94ED4"/>
    <w:rsid w:val="00F03267"/>
    <w:rsid w:val="00F76A3F"/>
    <w:rsid w:val="00F944FE"/>
    <w:rsid w:val="00FA5551"/>
    <w:rsid w:val="00FB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A2EA28D-2538-4AFD-8F24-E1A296FB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33"/>
  </w:style>
  <w:style w:type="paragraph" w:styleId="1">
    <w:name w:val="heading 1"/>
    <w:basedOn w:val="a"/>
    <w:next w:val="a"/>
    <w:link w:val="10"/>
    <w:qFormat/>
    <w:rsid w:val="00D3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8F8"/>
    <w:rPr>
      <w:color w:val="0000FF"/>
      <w:u w:val="single"/>
    </w:rPr>
  </w:style>
  <w:style w:type="paragraph" w:styleId="a5">
    <w:name w:val="Normal (Web)"/>
    <w:aliases w:val="Обычный (Web),Обычный (веб)1,Обычный (веб)11"/>
    <w:basedOn w:val="a"/>
    <w:link w:val="a6"/>
    <w:unhideWhenUsed/>
    <w:rsid w:val="006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24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C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next w:val="a"/>
    <w:uiPriority w:val="99"/>
    <w:rsid w:val="005E6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F03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0326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0E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1E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E4E7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1E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4E7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E4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1E4E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E7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5">
    <w:name w:val="Подпись к таблице (2)"/>
    <w:basedOn w:val="a"/>
    <w:link w:val="24"/>
    <w:rsid w:val="001E4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A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14pt0">
    <w:name w:val="Основной текст (4) + Times New Roman;14 pt;Полужирный"/>
    <w:basedOn w:val="4"/>
    <w:rsid w:val="00BA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5A3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A3B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0pt">
    <w:name w:val="Основной текст (4) + Times New Roman;10 pt"/>
    <w:basedOn w:val="4"/>
    <w:rsid w:val="0085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048"/>
  </w:style>
  <w:style w:type="paragraph" w:styleId="aa">
    <w:name w:val="footer"/>
    <w:basedOn w:val="a"/>
    <w:link w:val="ab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048"/>
  </w:style>
  <w:style w:type="paragraph" w:styleId="ac">
    <w:name w:val="Balloon Text"/>
    <w:basedOn w:val="a"/>
    <w:link w:val="ad"/>
    <w:uiPriority w:val="99"/>
    <w:semiHidden/>
    <w:unhideWhenUsed/>
    <w:rsid w:val="00A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048"/>
    <w:rPr>
      <w:rFonts w:ascii="Tahoma" w:hAnsi="Tahoma" w:cs="Tahoma"/>
      <w:sz w:val="16"/>
      <w:szCs w:val="16"/>
    </w:rPr>
  </w:style>
  <w:style w:type="paragraph" w:customStyle="1" w:styleId="00C2FCAA2DF749E1AD1DF710F7BE298E">
    <w:name w:val="00C2FCAA2DF749E1AD1DF710F7BE298E"/>
    <w:rsid w:val="00A26048"/>
  </w:style>
  <w:style w:type="character" w:customStyle="1" w:styleId="10">
    <w:name w:val="Заголовок 1 Знак"/>
    <w:basedOn w:val="a0"/>
    <w:link w:val="1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D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22F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rsid w:val="006D722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D722F"/>
    <w:rPr>
      <w:rFonts w:cs="Times New Roman"/>
    </w:rPr>
  </w:style>
  <w:style w:type="character" w:customStyle="1" w:styleId="submenu-table">
    <w:name w:val="submenu-table"/>
    <w:basedOn w:val="a0"/>
    <w:rsid w:val="008440A0"/>
  </w:style>
  <w:style w:type="character" w:styleId="ae">
    <w:name w:val="Strong"/>
    <w:basedOn w:val="a0"/>
    <w:uiPriority w:val="22"/>
    <w:qFormat/>
    <w:rsid w:val="00782E94"/>
    <w:rPr>
      <w:rFonts w:cs="Times New Roman"/>
      <w:b/>
      <w:bCs/>
    </w:rPr>
  </w:style>
  <w:style w:type="paragraph" w:styleId="af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0"/>
    <w:rsid w:val="004424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"/>
    <w:rsid w:val="00442478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B5D61"/>
  </w:style>
  <w:style w:type="paragraph" w:styleId="af1">
    <w:name w:val="Body Text"/>
    <w:basedOn w:val="a"/>
    <w:link w:val="af2"/>
    <w:rsid w:val="002B5D6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2B5D61"/>
    <w:rPr>
      <w:rFonts w:ascii="Times New Roman" w:eastAsia="Times New Roman" w:hAnsi="Times New Roman" w:cs="Times New Roman"/>
      <w:sz w:val="32"/>
      <w:szCs w:val="20"/>
    </w:rPr>
  </w:style>
  <w:style w:type="character" w:customStyle="1" w:styleId="c3">
    <w:name w:val="c3"/>
    <w:basedOn w:val="a0"/>
    <w:rsid w:val="002B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953ED-1BB3-4757-957C-6A1FEA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«Основы финансовой грамотности» для учащихся 10-11классов</vt:lpstr>
    </vt:vector>
  </TitlesOfParts>
  <Company>Reanimator Extreme Edition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«Основы финансовой грамотности» для учащихся 10-11классов</dc:title>
  <dc:creator>Кузнецова Наталья Владимировна,  учитель истории и обществознания МОУ СОШ №3</dc:creator>
  <cp:lastModifiedBy>Школа</cp:lastModifiedBy>
  <cp:revision>35</cp:revision>
  <cp:lastPrinted>2020-09-15T15:41:00Z</cp:lastPrinted>
  <dcterms:created xsi:type="dcterms:W3CDTF">2017-06-07T16:37:00Z</dcterms:created>
  <dcterms:modified xsi:type="dcterms:W3CDTF">2021-06-15T08:39:00Z</dcterms:modified>
</cp:coreProperties>
</file>